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2D8" w:rsidRDefault="008942D8" w:rsidP="008942D8">
      <w:pPr>
        <w:spacing w:line="480" w:lineRule="auto"/>
        <w:jc w:val="center"/>
        <w:rPr>
          <w:rFonts w:ascii="Times New Roman" w:hAnsi="Times New Roman" w:cs="Times New Roman"/>
          <w:sz w:val="24"/>
        </w:rPr>
      </w:pPr>
      <w:bookmarkStart w:id="0" w:name="_GoBack"/>
    </w:p>
    <w:p w:rsidR="00EB6B08" w:rsidRDefault="00EB6B08" w:rsidP="008942D8">
      <w:pPr>
        <w:spacing w:line="480" w:lineRule="auto"/>
        <w:jc w:val="center"/>
        <w:rPr>
          <w:rFonts w:ascii="Times New Roman" w:hAnsi="Times New Roman" w:cs="Times New Roman"/>
          <w:sz w:val="24"/>
        </w:rPr>
      </w:pPr>
    </w:p>
    <w:p w:rsidR="00EB6B08" w:rsidRDefault="00EB6B08" w:rsidP="008942D8">
      <w:pPr>
        <w:spacing w:line="480" w:lineRule="auto"/>
        <w:jc w:val="center"/>
        <w:rPr>
          <w:rFonts w:ascii="Times New Roman" w:hAnsi="Times New Roman" w:cs="Times New Roman"/>
          <w:sz w:val="24"/>
        </w:rPr>
      </w:pPr>
    </w:p>
    <w:p w:rsidR="00EB6B08" w:rsidRPr="008942D8" w:rsidRDefault="00EB6B08" w:rsidP="008942D8">
      <w:pPr>
        <w:spacing w:line="480" w:lineRule="auto"/>
        <w:jc w:val="center"/>
        <w:rPr>
          <w:rFonts w:ascii="Times New Roman" w:hAnsi="Times New Roman" w:cs="Times New Roman"/>
          <w:sz w:val="24"/>
        </w:rPr>
      </w:pPr>
    </w:p>
    <w:p w:rsidR="008942D8" w:rsidRPr="008942D8" w:rsidRDefault="00833160" w:rsidP="008942D8">
      <w:pPr>
        <w:spacing w:line="480" w:lineRule="auto"/>
        <w:jc w:val="center"/>
        <w:rPr>
          <w:rFonts w:ascii="Times New Roman" w:hAnsi="Times New Roman" w:cs="Times New Roman"/>
          <w:sz w:val="24"/>
        </w:rPr>
      </w:pPr>
      <w:r>
        <w:rPr>
          <w:rFonts w:ascii="Times New Roman" w:hAnsi="Times New Roman" w:cs="Times New Roman"/>
          <w:sz w:val="24"/>
        </w:rPr>
        <w:t xml:space="preserve">SCOTUS JUSTICES: </w:t>
      </w:r>
      <w:r w:rsidRPr="008942D8">
        <w:rPr>
          <w:rFonts w:ascii="Times New Roman" w:hAnsi="Times New Roman" w:cs="Times New Roman"/>
          <w:sz w:val="24"/>
        </w:rPr>
        <w:t>The Supreme Court</w:t>
      </w:r>
    </w:p>
    <w:p w:rsidR="008942D8" w:rsidRPr="008942D8" w:rsidRDefault="00833160" w:rsidP="008942D8">
      <w:pPr>
        <w:spacing w:line="480" w:lineRule="auto"/>
        <w:jc w:val="center"/>
        <w:rPr>
          <w:rFonts w:ascii="Times New Roman" w:hAnsi="Times New Roman" w:cs="Times New Roman"/>
          <w:sz w:val="24"/>
        </w:rPr>
      </w:pPr>
      <w:r w:rsidRPr="008942D8">
        <w:rPr>
          <w:rFonts w:ascii="Times New Roman" w:hAnsi="Times New Roman" w:cs="Times New Roman"/>
          <w:sz w:val="24"/>
        </w:rPr>
        <w:t>Name of Student</w:t>
      </w:r>
    </w:p>
    <w:p w:rsidR="008942D8" w:rsidRPr="008942D8" w:rsidRDefault="00833160" w:rsidP="008942D8">
      <w:pPr>
        <w:spacing w:line="480" w:lineRule="auto"/>
        <w:jc w:val="center"/>
        <w:rPr>
          <w:rFonts w:ascii="Times New Roman" w:hAnsi="Times New Roman" w:cs="Times New Roman"/>
          <w:sz w:val="24"/>
        </w:rPr>
      </w:pPr>
      <w:r w:rsidRPr="008942D8">
        <w:rPr>
          <w:rFonts w:ascii="Times New Roman" w:hAnsi="Times New Roman" w:cs="Times New Roman"/>
          <w:sz w:val="24"/>
        </w:rPr>
        <w:t>Institution Affiliation</w:t>
      </w:r>
    </w:p>
    <w:p w:rsidR="008942D8" w:rsidRDefault="00833160" w:rsidP="008942D8">
      <w:pPr>
        <w:spacing w:line="480" w:lineRule="auto"/>
        <w:jc w:val="center"/>
        <w:rPr>
          <w:rFonts w:ascii="Times New Roman" w:hAnsi="Times New Roman" w:cs="Times New Roman"/>
          <w:sz w:val="24"/>
        </w:rPr>
      </w:pPr>
      <w:r w:rsidRPr="008942D8">
        <w:rPr>
          <w:rFonts w:ascii="Times New Roman" w:hAnsi="Times New Roman" w:cs="Times New Roman"/>
          <w:sz w:val="24"/>
        </w:rPr>
        <w:t>Date</w:t>
      </w:r>
    </w:p>
    <w:p w:rsidR="008942D8" w:rsidRDefault="008942D8" w:rsidP="008942D8">
      <w:pPr>
        <w:spacing w:line="480" w:lineRule="auto"/>
        <w:jc w:val="both"/>
        <w:rPr>
          <w:rFonts w:ascii="Times New Roman" w:hAnsi="Times New Roman" w:cs="Times New Roman"/>
          <w:sz w:val="24"/>
        </w:rPr>
      </w:pPr>
    </w:p>
    <w:p w:rsidR="008942D8" w:rsidRDefault="008942D8" w:rsidP="008942D8">
      <w:pPr>
        <w:spacing w:line="480" w:lineRule="auto"/>
        <w:jc w:val="both"/>
        <w:rPr>
          <w:rFonts w:ascii="Times New Roman" w:hAnsi="Times New Roman" w:cs="Times New Roman"/>
          <w:sz w:val="24"/>
        </w:rPr>
      </w:pPr>
    </w:p>
    <w:p w:rsidR="008942D8" w:rsidRDefault="008942D8" w:rsidP="008942D8">
      <w:pPr>
        <w:spacing w:line="480" w:lineRule="auto"/>
        <w:jc w:val="both"/>
        <w:rPr>
          <w:rFonts w:ascii="Times New Roman" w:hAnsi="Times New Roman" w:cs="Times New Roman"/>
          <w:sz w:val="24"/>
        </w:rPr>
      </w:pPr>
    </w:p>
    <w:p w:rsidR="008942D8" w:rsidRDefault="008942D8" w:rsidP="008942D8">
      <w:pPr>
        <w:spacing w:line="480" w:lineRule="auto"/>
        <w:jc w:val="both"/>
        <w:rPr>
          <w:rFonts w:ascii="Times New Roman" w:hAnsi="Times New Roman" w:cs="Times New Roman"/>
          <w:sz w:val="24"/>
        </w:rPr>
      </w:pPr>
    </w:p>
    <w:p w:rsidR="008942D8" w:rsidRDefault="008942D8" w:rsidP="008942D8">
      <w:pPr>
        <w:spacing w:line="480" w:lineRule="auto"/>
        <w:jc w:val="both"/>
        <w:rPr>
          <w:rFonts w:ascii="Times New Roman" w:hAnsi="Times New Roman" w:cs="Times New Roman"/>
          <w:sz w:val="24"/>
        </w:rPr>
      </w:pPr>
    </w:p>
    <w:p w:rsidR="008942D8" w:rsidRDefault="008942D8" w:rsidP="008942D8">
      <w:pPr>
        <w:spacing w:line="480" w:lineRule="auto"/>
        <w:jc w:val="both"/>
        <w:rPr>
          <w:rFonts w:ascii="Times New Roman" w:hAnsi="Times New Roman" w:cs="Times New Roman"/>
          <w:sz w:val="24"/>
        </w:rPr>
      </w:pPr>
    </w:p>
    <w:p w:rsidR="008942D8" w:rsidRDefault="008942D8" w:rsidP="008942D8">
      <w:pPr>
        <w:spacing w:line="480" w:lineRule="auto"/>
        <w:jc w:val="both"/>
        <w:rPr>
          <w:rFonts w:ascii="Times New Roman" w:hAnsi="Times New Roman" w:cs="Times New Roman"/>
          <w:sz w:val="24"/>
        </w:rPr>
      </w:pPr>
    </w:p>
    <w:p w:rsidR="008942D8" w:rsidRDefault="008942D8" w:rsidP="008942D8">
      <w:pPr>
        <w:spacing w:line="480" w:lineRule="auto"/>
        <w:jc w:val="both"/>
        <w:rPr>
          <w:rFonts w:ascii="Times New Roman" w:hAnsi="Times New Roman" w:cs="Times New Roman"/>
          <w:sz w:val="24"/>
        </w:rPr>
      </w:pPr>
    </w:p>
    <w:p w:rsidR="008942D8" w:rsidRDefault="008942D8" w:rsidP="008942D8">
      <w:pPr>
        <w:spacing w:line="480" w:lineRule="auto"/>
        <w:jc w:val="both"/>
        <w:rPr>
          <w:rFonts w:ascii="Times New Roman" w:hAnsi="Times New Roman" w:cs="Times New Roman"/>
          <w:sz w:val="24"/>
        </w:rPr>
      </w:pPr>
    </w:p>
    <w:p w:rsidR="008942D8" w:rsidRDefault="008942D8" w:rsidP="008942D8">
      <w:pPr>
        <w:spacing w:line="480" w:lineRule="auto"/>
        <w:jc w:val="both"/>
        <w:rPr>
          <w:rFonts w:ascii="Times New Roman" w:hAnsi="Times New Roman" w:cs="Times New Roman"/>
          <w:sz w:val="24"/>
        </w:rPr>
      </w:pPr>
    </w:p>
    <w:p w:rsidR="008942D8" w:rsidRDefault="008942D8" w:rsidP="008942D8">
      <w:pPr>
        <w:spacing w:line="480" w:lineRule="auto"/>
        <w:jc w:val="both"/>
        <w:rPr>
          <w:rFonts w:ascii="Times New Roman" w:hAnsi="Times New Roman" w:cs="Times New Roman"/>
          <w:sz w:val="24"/>
        </w:rPr>
      </w:pPr>
    </w:p>
    <w:p w:rsidR="00EB6B08" w:rsidRDefault="00EB6B08" w:rsidP="008942D8">
      <w:pPr>
        <w:spacing w:line="480" w:lineRule="auto"/>
        <w:jc w:val="both"/>
        <w:rPr>
          <w:rFonts w:ascii="Times New Roman" w:hAnsi="Times New Roman" w:cs="Times New Roman"/>
          <w:sz w:val="24"/>
        </w:rPr>
      </w:pPr>
    </w:p>
    <w:p w:rsidR="008942D8" w:rsidRPr="008B6EB6" w:rsidRDefault="00833160" w:rsidP="008B6EB6">
      <w:pPr>
        <w:spacing w:line="480" w:lineRule="auto"/>
        <w:jc w:val="center"/>
        <w:rPr>
          <w:rFonts w:ascii="Times New Roman" w:hAnsi="Times New Roman" w:cs="Times New Roman"/>
          <w:b/>
          <w:sz w:val="24"/>
        </w:rPr>
      </w:pPr>
      <w:r w:rsidRPr="008B6EB6">
        <w:rPr>
          <w:rFonts w:ascii="Times New Roman" w:hAnsi="Times New Roman" w:cs="Times New Roman"/>
          <w:b/>
          <w:sz w:val="24"/>
        </w:rPr>
        <w:lastRenderedPageBreak/>
        <w:t>Introduction</w:t>
      </w:r>
    </w:p>
    <w:p w:rsidR="008B6EB6" w:rsidRDefault="00833160" w:rsidP="008942D8">
      <w:pPr>
        <w:spacing w:line="480" w:lineRule="auto"/>
        <w:jc w:val="both"/>
        <w:rPr>
          <w:rFonts w:ascii="Times New Roman" w:hAnsi="Times New Roman" w:cs="Times New Roman"/>
          <w:sz w:val="24"/>
        </w:rPr>
      </w:pPr>
      <w:r>
        <w:rPr>
          <w:rFonts w:ascii="Times New Roman" w:hAnsi="Times New Roman" w:cs="Times New Roman"/>
          <w:sz w:val="24"/>
        </w:rPr>
        <w:t xml:space="preserve"> In every country, there is the position of a supreme court. Court</w:t>
      </w:r>
      <w:r w:rsidR="00BF1E8E">
        <w:rPr>
          <w:rFonts w:ascii="Times New Roman" w:hAnsi="Times New Roman" w:cs="Times New Roman"/>
          <w:sz w:val="24"/>
        </w:rPr>
        <w:t>s are</w:t>
      </w:r>
      <w:r>
        <w:rPr>
          <w:rFonts w:ascii="Times New Roman" w:hAnsi="Times New Roman" w:cs="Times New Roman"/>
          <w:sz w:val="24"/>
        </w:rPr>
        <w:t xml:space="preserve"> essential in a country which has democracy in that they make sure there is order and that the constitution is followed to the letter. A court is a place </w:t>
      </w:r>
      <w:r w:rsidR="00D875CF">
        <w:rPr>
          <w:rFonts w:ascii="Times New Roman" w:hAnsi="Times New Roman" w:cs="Times New Roman"/>
          <w:sz w:val="24"/>
        </w:rPr>
        <w:t xml:space="preserve">or any institution </w:t>
      </w:r>
      <w:r>
        <w:rPr>
          <w:rFonts w:ascii="Times New Roman" w:hAnsi="Times New Roman" w:cs="Times New Roman"/>
          <w:sz w:val="24"/>
        </w:rPr>
        <w:t>where the law i</w:t>
      </w:r>
      <w:r w:rsidR="00D875CF">
        <w:rPr>
          <w:rFonts w:ascii="Times New Roman" w:hAnsi="Times New Roman" w:cs="Times New Roman"/>
          <w:sz w:val="24"/>
        </w:rPr>
        <w:t>s</w:t>
      </w:r>
      <w:r>
        <w:rPr>
          <w:rFonts w:ascii="Times New Roman" w:hAnsi="Times New Roman" w:cs="Times New Roman"/>
          <w:sz w:val="24"/>
        </w:rPr>
        <w:t xml:space="preserve"> enforced, and </w:t>
      </w:r>
      <w:r w:rsidR="00D875CF">
        <w:rPr>
          <w:rFonts w:ascii="Times New Roman" w:hAnsi="Times New Roman" w:cs="Times New Roman"/>
          <w:sz w:val="24"/>
        </w:rPr>
        <w:t>the adjudication of justice takes place (Walker, 1980). Lega</w:t>
      </w:r>
      <w:r w:rsidR="00EB6B08">
        <w:rPr>
          <w:rFonts w:ascii="Times New Roman" w:hAnsi="Times New Roman" w:cs="Times New Roman"/>
          <w:sz w:val="24"/>
        </w:rPr>
        <w:t>l</w:t>
      </w:r>
      <w:r w:rsidR="00D875CF">
        <w:rPr>
          <w:rFonts w:ascii="Times New Roman" w:hAnsi="Times New Roman" w:cs="Times New Roman"/>
          <w:sz w:val="24"/>
        </w:rPr>
        <w:t xml:space="preserve"> matters are held to be delicate and given a lot of attention. In the United States of America, the Supreme Court is held in high regards and back in 2016 when the supreme court experience the death of Justice Scalia. It is regarded that the position is of more importance than that of the presidency position. A lot of attention is given when appointing a </w:t>
      </w:r>
      <w:r w:rsidR="00BF1E8E">
        <w:rPr>
          <w:rFonts w:ascii="Times New Roman" w:hAnsi="Times New Roman" w:cs="Times New Roman"/>
          <w:sz w:val="24"/>
        </w:rPr>
        <w:t>Supreme Court</w:t>
      </w:r>
      <w:r w:rsidR="00D875CF">
        <w:rPr>
          <w:rFonts w:ascii="Times New Roman" w:hAnsi="Times New Roman" w:cs="Times New Roman"/>
          <w:sz w:val="24"/>
        </w:rPr>
        <w:t xml:space="preserve"> judge as it is the high</w:t>
      </w:r>
      <w:r w:rsidR="00BF1E8E">
        <w:rPr>
          <w:rFonts w:ascii="Times New Roman" w:hAnsi="Times New Roman" w:cs="Times New Roman"/>
          <w:sz w:val="24"/>
        </w:rPr>
        <w:t>est</w:t>
      </w:r>
      <w:r w:rsidR="00D875CF">
        <w:rPr>
          <w:rFonts w:ascii="Times New Roman" w:hAnsi="Times New Roman" w:cs="Times New Roman"/>
          <w:sz w:val="24"/>
        </w:rPr>
        <w:t xml:space="preserve"> Court in the land and country and presides over major disputes which need a lot of attention and experience. </w:t>
      </w:r>
    </w:p>
    <w:p w:rsidR="00BF1E8E" w:rsidRDefault="00833160" w:rsidP="008942D8">
      <w:pPr>
        <w:spacing w:line="480" w:lineRule="auto"/>
        <w:jc w:val="both"/>
        <w:rPr>
          <w:rFonts w:ascii="Times New Roman" w:hAnsi="Times New Roman" w:cs="Times New Roman"/>
          <w:sz w:val="24"/>
        </w:rPr>
      </w:pPr>
      <w:r>
        <w:rPr>
          <w:rFonts w:ascii="Times New Roman" w:hAnsi="Times New Roman" w:cs="Times New Roman"/>
          <w:sz w:val="24"/>
        </w:rPr>
        <w:tab/>
      </w:r>
      <w:r w:rsidR="0087363A">
        <w:rPr>
          <w:rFonts w:ascii="Times New Roman" w:hAnsi="Times New Roman" w:cs="Times New Roman"/>
          <w:sz w:val="24"/>
        </w:rPr>
        <w:t>The appointment of Justice Neil Gorsuch by President Trump to the Supreme Court has a substantial political impact. The Supreme Court history has it, that once a judge is appointed by a Re</w:t>
      </w:r>
      <w:r w:rsidR="00C44805">
        <w:rPr>
          <w:rFonts w:ascii="Times New Roman" w:hAnsi="Times New Roman" w:cs="Times New Roman"/>
          <w:sz w:val="24"/>
        </w:rPr>
        <w:t>publican president</w:t>
      </w:r>
      <w:r w:rsidR="0087363A">
        <w:rPr>
          <w:rFonts w:ascii="Times New Roman" w:hAnsi="Times New Roman" w:cs="Times New Roman"/>
          <w:sz w:val="24"/>
        </w:rPr>
        <w:t>,</w:t>
      </w:r>
      <w:r w:rsidR="00C44805">
        <w:rPr>
          <w:rFonts w:ascii="Times New Roman" w:hAnsi="Times New Roman" w:cs="Times New Roman"/>
          <w:sz w:val="24"/>
        </w:rPr>
        <w:t xml:space="preserve"> the ideological lines match with party ideas in most cases.</w:t>
      </w:r>
      <w:r w:rsidR="007F39B2" w:rsidRPr="007F39B2">
        <w:rPr>
          <w:rFonts w:ascii="Times New Roman" w:hAnsi="Times New Roman" w:cs="Times New Roman"/>
          <w:sz w:val="24"/>
        </w:rPr>
        <w:t xml:space="preserve"> </w:t>
      </w:r>
      <w:sdt>
        <w:sdtPr>
          <w:rPr>
            <w:rFonts w:ascii="Times New Roman" w:hAnsi="Times New Roman" w:cs="Times New Roman"/>
            <w:sz w:val="24"/>
          </w:rPr>
          <w:id w:val="874575486"/>
          <w:citation/>
        </w:sdtPr>
        <w:sdtEndPr/>
        <w:sdtContent>
          <w:r w:rsidR="007F39B2">
            <w:rPr>
              <w:rFonts w:ascii="Times New Roman" w:hAnsi="Times New Roman" w:cs="Times New Roman"/>
              <w:sz w:val="24"/>
            </w:rPr>
            <w:fldChar w:fldCharType="begin"/>
          </w:r>
          <w:r w:rsidR="007F39B2">
            <w:rPr>
              <w:rFonts w:ascii="Times New Roman" w:hAnsi="Times New Roman" w:cs="Times New Roman"/>
              <w:sz w:val="24"/>
            </w:rPr>
            <w:instrText xml:space="preserve"> CITATION Dev16 \l 1033 </w:instrText>
          </w:r>
          <w:r w:rsidR="007F39B2">
            <w:rPr>
              <w:rFonts w:ascii="Times New Roman" w:hAnsi="Times New Roman" w:cs="Times New Roman"/>
              <w:sz w:val="24"/>
            </w:rPr>
            <w:fldChar w:fldCharType="separate"/>
          </w:r>
          <w:r w:rsidR="007F39B2">
            <w:rPr>
              <w:rFonts w:ascii="Times New Roman" w:hAnsi="Times New Roman" w:cs="Times New Roman"/>
              <w:noProof/>
              <w:sz w:val="24"/>
            </w:rPr>
            <w:t xml:space="preserve"> </w:t>
          </w:r>
          <w:r w:rsidR="007F39B2" w:rsidRPr="00C44805">
            <w:rPr>
              <w:rFonts w:ascii="Times New Roman" w:hAnsi="Times New Roman" w:cs="Times New Roman"/>
              <w:noProof/>
              <w:sz w:val="24"/>
            </w:rPr>
            <w:t>(Devins, 2016)</w:t>
          </w:r>
          <w:r w:rsidR="007F39B2">
            <w:rPr>
              <w:rFonts w:ascii="Times New Roman" w:hAnsi="Times New Roman" w:cs="Times New Roman"/>
              <w:sz w:val="24"/>
            </w:rPr>
            <w:fldChar w:fldCharType="end"/>
          </w:r>
        </w:sdtContent>
      </w:sdt>
      <w:r w:rsidR="00C44805">
        <w:rPr>
          <w:rFonts w:ascii="Times New Roman" w:hAnsi="Times New Roman" w:cs="Times New Roman"/>
          <w:sz w:val="24"/>
        </w:rPr>
        <w:t xml:space="preserve"> This is also the case as when the judge is appointed by a Democrat president. Therefore, the appointment of Justice Neil Gorsuch will mean he will be more inclined to the Republican Party ideologies.</w:t>
      </w:r>
    </w:p>
    <w:p w:rsidR="007F39B2" w:rsidRDefault="00833160" w:rsidP="008942D8">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rPr>
        <w:t xml:space="preserve"> The Supreme Court reaffirmed the </w:t>
      </w:r>
      <w:r w:rsidR="000E6640">
        <w:rPr>
          <w:rFonts w:ascii="Times New Roman" w:hAnsi="Times New Roman" w:cs="Times New Roman"/>
          <w:sz w:val="24"/>
        </w:rPr>
        <w:t xml:space="preserve">proceeded with imperativeness of the privacy framework, Katz. </w:t>
      </w:r>
      <w:r w:rsidR="000E6640">
        <w:rPr>
          <w:rFonts w:ascii="NexusSansWebPro" w:hAnsi="NexusSansWebPro"/>
          <w:color w:val="505050"/>
          <w:shd w:val="clear" w:color="auto" w:fill="FFFFFF"/>
        </w:rPr>
        <w:t> </w:t>
      </w:r>
      <w:r w:rsidR="000E6640" w:rsidRPr="000E6640">
        <w:rPr>
          <w:rFonts w:ascii="Times New Roman" w:hAnsi="Times New Roman" w:cs="Times New Roman"/>
          <w:sz w:val="24"/>
          <w:szCs w:val="24"/>
          <w:shd w:val="clear" w:color="auto" w:fill="FFFFFF"/>
        </w:rPr>
        <w:t>Justice Neil Gorsuch, in dissent, critiqued Katz as indeterminate and inconsistent with democratic values</w:t>
      </w:r>
      <w:r w:rsidR="000E6640">
        <w:rPr>
          <w:rFonts w:ascii="Times New Roman" w:hAnsi="Times New Roman" w:cs="Times New Roman"/>
          <w:sz w:val="24"/>
          <w:szCs w:val="24"/>
          <w:shd w:val="clear" w:color="auto" w:fill="FFFFFF"/>
        </w:rPr>
        <w:t>. Justice Gorsuch suggested another structure whereby he called it the "traditional approach"</w:t>
      </w:r>
      <w:sdt>
        <w:sdtPr>
          <w:rPr>
            <w:rFonts w:ascii="Times New Roman" w:hAnsi="Times New Roman" w:cs="Times New Roman"/>
            <w:sz w:val="24"/>
            <w:szCs w:val="24"/>
            <w:shd w:val="clear" w:color="auto" w:fill="FFFFFF"/>
          </w:rPr>
          <w:id w:val="-667101618"/>
          <w:citation/>
        </w:sdtPr>
        <w:sdtEndPr/>
        <w:sdtContent>
          <w:r w:rsidR="000E6640">
            <w:rPr>
              <w:rFonts w:ascii="Times New Roman" w:hAnsi="Times New Roman" w:cs="Times New Roman"/>
              <w:sz w:val="24"/>
              <w:szCs w:val="24"/>
              <w:shd w:val="clear" w:color="auto" w:fill="FFFFFF"/>
            </w:rPr>
            <w:fldChar w:fldCharType="begin"/>
          </w:r>
          <w:r w:rsidR="000E6640">
            <w:rPr>
              <w:rFonts w:ascii="Times New Roman" w:hAnsi="Times New Roman" w:cs="Times New Roman"/>
              <w:sz w:val="24"/>
              <w:szCs w:val="24"/>
              <w:shd w:val="clear" w:color="auto" w:fill="FFFFFF"/>
            </w:rPr>
            <w:instrText xml:space="preserve"> CITATION Kah19 \l 1033 </w:instrText>
          </w:r>
          <w:r w:rsidR="000E6640">
            <w:rPr>
              <w:rFonts w:ascii="Times New Roman" w:hAnsi="Times New Roman" w:cs="Times New Roman"/>
              <w:sz w:val="24"/>
              <w:szCs w:val="24"/>
              <w:shd w:val="clear" w:color="auto" w:fill="FFFFFF"/>
            </w:rPr>
            <w:fldChar w:fldCharType="separate"/>
          </w:r>
          <w:r w:rsidR="000E6640">
            <w:rPr>
              <w:rFonts w:ascii="Times New Roman" w:hAnsi="Times New Roman" w:cs="Times New Roman"/>
              <w:noProof/>
              <w:sz w:val="24"/>
              <w:szCs w:val="24"/>
              <w:shd w:val="clear" w:color="auto" w:fill="FFFFFF"/>
            </w:rPr>
            <w:t xml:space="preserve"> </w:t>
          </w:r>
          <w:r w:rsidR="000E6640" w:rsidRPr="000E6640">
            <w:rPr>
              <w:rFonts w:ascii="Times New Roman" w:hAnsi="Times New Roman" w:cs="Times New Roman"/>
              <w:noProof/>
              <w:sz w:val="24"/>
              <w:szCs w:val="24"/>
              <w:shd w:val="clear" w:color="auto" w:fill="FFFFFF"/>
            </w:rPr>
            <w:t>(Kahn-Fogel, 2019)</w:t>
          </w:r>
          <w:r w:rsidR="000E6640">
            <w:rPr>
              <w:rFonts w:ascii="Times New Roman" w:hAnsi="Times New Roman" w:cs="Times New Roman"/>
              <w:sz w:val="24"/>
              <w:szCs w:val="24"/>
              <w:shd w:val="clear" w:color="auto" w:fill="FFFFFF"/>
            </w:rPr>
            <w:fldChar w:fldCharType="end"/>
          </w:r>
        </w:sdtContent>
      </w:sdt>
      <w:r w:rsidR="00DB569C">
        <w:rPr>
          <w:rFonts w:ascii="Times New Roman" w:hAnsi="Times New Roman" w:cs="Times New Roman"/>
          <w:sz w:val="24"/>
          <w:szCs w:val="24"/>
          <w:shd w:val="clear" w:color="auto" w:fill="FFFFFF"/>
        </w:rPr>
        <w:t xml:space="preserve">. </w:t>
      </w:r>
      <w:r w:rsidR="000E6640" w:rsidRPr="000E6640">
        <w:rPr>
          <w:rFonts w:ascii="Times New Roman" w:hAnsi="Times New Roman" w:cs="Times New Roman"/>
          <w:sz w:val="24"/>
          <w:szCs w:val="24"/>
          <w:shd w:val="clear" w:color="auto" w:fill="FFFFFF"/>
        </w:rPr>
        <w:t xml:space="preserve">Rather than thinking about the inconclusive and literarily and truly unwarranted "sensible desires for security" structure of Katz, Gorsuch affirmed, this conventional test would expect judges to concentrate on whether a "house, paper, or impact was yours under law." Although Gorsuch offered fundamental considerations on this rubric, his feeling left open significant inquiries, including the wellsprings of law to which the </w:t>
      </w:r>
      <w:r w:rsidR="000E6640" w:rsidRPr="000E6640">
        <w:rPr>
          <w:rFonts w:ascii="Times New Roman" w:hAnsi="Times New Roman" w:cs="Times New Roman"/>
          <w:sz w:val="24"/>
          <w:szCs w:val="24"/>
          <w:shd w:val="clear" w:color="auto" w:fill="FFFFFF"/>
        </w:rPr>
        <w:lastRenderedPageBreak/>
        <w:t>Court should look in recognizing property interests; the expansiveness of the meanings of "papers" and "impacts" and the sorts of property firmly enough connected with the individual for potential ramifications of Fourth Amendment rights; and the manners by which government lead impinging on such property interests may trigger Fourth Amendment assurance. Several passages in Justice Gorsuch's opinion suggest that he would take a broad, flexible approach to each of these issues.</w:t>
      </w:r>
      <w:r w:rsidR="00DB569C">
        <w:rPr>
          <w:rFonts w:ascii="Times New Roman" w:hAnsi="Times New Roman" w:cs="Times New Roman"/>
          <w:sz w:val="24"/>
          <w:szCs w:val="24"/>
          <w:shd w:val="clear" w:color="auto" w:fill="FFFFFF"/>
        </w:rPr>
        <w:t xml:space="preserve"> In future, we would see Justice Gorsuch </w:t>
      </w:r>
      <w:r w:rsidR="00DB569C" w:rsidRPr="00DB569C">
        <w:rPr>
          <w:rFonts w:ascii="Times New Roman" w:hAnsi="Times New Roman" w:cs="Times New Roman"/>
          <w:sz w:val="24"/>
          <w:szCs w:val="24"/>
          <w:shd w:val="clear" w:color="auto" w:fill="FFFFFF"/>
        </w:rPr>
        <w:t>favour</w:t>
      </w:r>
      <w:r w:rsidR="00DB569C">
        <w:rPr>
          <w:rFonts w:ascii="Times New Roman" w:hAnsi="Times New Roman" w:cs="Times New Roman"/>
          <w:sz w:val="24"/>
          <w:szCs w:val="24"/>
          <w:shd w:val="clear" w:color="auto" w:fill="FFFFFF"/>
        </w:rPr>
        <w:t>ing</w:t>
      </w:r>
      <w:r w:rsidR="00DB569C" w:rsidRPr="00DB569C">
        <w:rPr>
          <w:rFonts w:ascii="Times New Roman" w:hAnsi="Times New Roman" w:cs="Times New Roman"/>
          <w:sz w:val="24"/>
          <w:szCs w:val="24"/>
          <w:shd w:val="clear" w:color="auto" w:fill="FFFFFF"/>
        </w:rPr>
        <w:t xml:space="preserve"> a flexible “traditional approach” over Katz because its explicit attention to the language of the Fourth Amendment is more conceptually elegant and, at least aesthetically, more consistent with Gorsuch’s originalist sympathie</w:t>
      </w:r>
      <w:r w:rsidR="00DB569C">
        <w:rPr>
          <w:rFonts w:ascii="Times New Roman" w:hAnsi="Times New Roman" w:cs="Times New Roman"/>
          <w:sz w:val="24"/>
          <w:szCs w:val="24"/>
          <w:shd w:val="clear" w:color="auto" w:fill="FFFFFF"/>
        </w:rPr>
        <w:t>s.</w:t>
      </w:r>
    </w:p>
    <w:p w:rsidR="00DB569C" w:rsidRDefault="00833160" w:rsidP="008942D8">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The appointment of Justice Kavanaugh by President Trump is seen by many as a good move. Justice Kavanaugh is a legal mind who possesses excellent knowledge and commands enormous respect </w:t>
      </w:r>
      <w:r w:rsidR="00080604">
        <w:rPr>
          <w:rFonts w:ascii="Times New Roman" w:hAnsi="Times New Roman" w:cs="Times New Roman"/>
          <w:sz w:val="24"/>
          <w:szCs w:val="24"/>
          <w:shd w:val="clear" w:color="auto" w:fill="FFFFFF"/>
        </w:rPr>
        <w:t>among lawyers and also fellow judges. A great jurist also accepts and learns from past mistakes and Justice Kavanaugh is no exception. One time he confessed that some of the views he had two decades ago as a young lawyer were erroneous. These views were about his grouchy understanding of the presidency.</w:t>
      </w:r>
    </w:p>
    <w:p w:rsidR="00BF6FD5" w:rsidRDefault="00833160" w:rsidP="008942D8">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EB6B08" w:rsidRPr="00EB6B08">
        <w:rPr>
          <w:rFonts w:ascii="Times New Roman" w:hAnsi="Times New Roman" w:cs="Times New Roman"/>
          <w:sz w:val="24"/>
          <w:szCs w:val="24"/>
          <w:shd w:val="clear" w:color="auto" w:fill="FFFFFF"/>
        </w:rPr>
        <w:t xml:space="preserve">Aside from age which is the crucial factor in a judge's retirement, the inquiries individuals pose is does governmental issues impact legal pensions. As indicated by Spriggs and Wahlbeck, legal researchers have since quite a while ago recognized the job of the administrative problems in the legal arrangement process and essential legal leadership, yet the legal retirement writing presents different ends on the impact of legislative issues. We utilize an occasion tally model to test the effect of the legislative problems on the yearly number of intentional takeoffs from the government courts of bids from 1893 through 1991 (Spriggs, 1995). Our information give proof that more judges are probably going to resign </w:t>
      </w:r>
      <w:r w:rsidR="00EB6B08">
        <w:rPr>
          <w:rFonts w:ascii="Times New Roman" w:hAnsi="Times New Roman" w:cs="Times New Roman"/>
          <w:sz w:val="24"/>
          <w:szCs w:val="24"/>
          <w:shd w:val="clear" w:color="auto" w:fill="FFFFFF"/>
        </w:rPr>
        <w:t>when politi</w:t>
      </w:r>
      <w:r w:rsidR="00EB6B08" w:rsidRPr="00EB6B08">
        <w:rPr>
          <w:rFonts w:ascii="Times New Roman" w:hAnsi="Times New Roman" w:cs="Times New Roman"/>
          <w:sz w:val="24"/>
          <w:szCs w:val="24"/>
          <w:shd w:val="clear" w:color="auto" w:fill="FFFFFF"/>
        </w:rPr>
        <w:t xml:space="preserve">cal conditions support the choice of successors sharing their strategy sees or when dire political circumstances show up improbable to change. These political variables are huge even after </w:t>
      </w:r>
      <w:r w:rsidR="00EB6B08" w:rsidRPr="00EB6B08">
        <w:rPr>
          <w:rFonts w:ascii="Times New Roman" w:hAnsi="Times New Roman" w:cs="Times New Roman"/>
          <w:sz w:val="24"/>
          <w:szCs w:val="24"/>
          <w:shd w:val="clear" w:color="auto" w:fill="FFFFFF"/>
        </w:rPr>
        <w:lastRenderedPageBreak/>
        <w:t>controlling for the expenses brought about by proceeded with the administration on the courts, for example, decreasing pay, expanding caseload, age, and improved retirement benefits.</w:t>
      </w:r>
    </w:p>
    <w:p w:rsidR="00DC406C" w:rsidRDefault="00833160" w:rsidP="008942D8">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DC406C">
        <w:rPr>
          <w:rFonts w:ascii="Times New Roman" w:hAnsi="Times New Roman" w:cs="Times New Roman"/>
          <w:sz w:val="24"/>
          <w:szCs w:val="24"/>
          <w:shd w:val="clear" w:color="auto" w:fill="FFFFFF"/>
        </w:rPr>
        <w:t>The contrasts among Gorsuch and Kavanaugh likewise mirror the two judges' varying ways to deal with the Supreme Court point of reference</w:t>
      </w:r>
      <w:sdt>
        <w:sdtPr>
          <w:rPr>
            <w:rFonts w:ascii="Times New Roman" w:hAnsi="Times New Roman" w:cs="Times New Roman"/>
            <w:sz w:val="24"/>
            <w:szCs w:val="24"/>
            <w:shd w:val="clear" w:color="auto" w:fill="FFFFFF"/>
          </w:rPr>
          <w:id w:val="-163704082"/>
          <w:citation/>
        </w:sdtPr>
        <w:sdtEndPr/>
        <w:sdtContent>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Mas18 \l 1033 </w:instrText>
          </w:r>
          <w:r>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w:t>
          </w:r>
          <w:r w:rsidRPr="00DC406C">
            <w:rPr>
              <w:rFonts w:ascii="Times New Roman" w:hAnsi="Times New Roman" w:cs="Times New Roman"/>
              <w:noProof/>
              <w:sz w:val="24"/>
              <w:szCs w:val="24"/>
              <w:shd w:val="clear" w:color="auto" w:fill="FFFFFF"/>
            </w:rPr>
            <w:t>(Mascott, 2018)</w:t>
          </w:r>
          <w:r>
            <w:rPr>
              <w:rFonts w:ascii="Times New Roman" w:hAnsi="Times New Roman" w:cs="Times New Roman"/>
              <w:sz w:val="24"/>
              <w:szCs w:val="24"/>
              <w:shd w:val="clear" w:color="auto" w:fill="FFFFFF"/>
            </w:rPr>
            <w:fldChar w:fldCharType="end"/>
          </w:r>
        </w:sdtContent>
      </w:sdt>
      <w:r w:rsidRPr="00DC406C">
        <w:rPr>
          <w:rFonts w:ascii="Times New Roman" w:hAnsi="Times New Roman" w:cs="Times New Roman"/>
          <w:sz w:val="24"/>
          <w:szCs w:val="24"/>
          <w:shd w:val="clear" w:color="auto" w:fill="FFFFFF"/>
        </w:rPr>
        <w:t>. Gorsuch uncovered that he is amazingly alright with overruling the Court's earlier cases, to the degree that he ridiculed different judges for recoiling at the chance to upset a previous point of reference. What's more, he composed an assessment that cut out a recently moulded exemption to the teaching of gaze decision, which by and large requires the Court to hold fast to its earlier cases.</w:t>
      </w:r>
    </w:p>
    <w:p w:rsidR="00DC406C" w:rsidRDefault="00833160" w:rsidP="008942D8">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DC406C">
        <w:rPr>
          <w:rFonts w:ascii="Times New Roman" w:hAnsi="Times New Roman" w:cs="Times New Roman"/>
          <w:sz w:val="24"/>
          <w:szCs w:val="24"/>
          <w:shd w:val="clear" w:color="auto" w:fill="FFFFFF"/>
        </w:rPr>
        <w:t>Kavanaugh adopted an increasingly customary strategy, most prominently in June Medical Services v. Gee, in which he wanted to put his vote with regards to prior Supreme Court choices notwithstanding his uniqueness from the point of reference</w:t>
      </w:r>
    </w:p>
    <w:p w:rsidR="000924E1" w:rsidRDefault="00833160" w:rsidP="008942D8">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There have been cases that have changed the Criminal Justice System in America. Some of the notable examples include that of Miranda, who was arrested by the police and confessed to having done the crime. Miranda's attorney argued that the confession should be dismissed as the police had not informed Miranda of his rights to remain silent. The Supreme Court agreed with the lawyer's argument.</w:t>
      </w:r>
    </w:p>
    <w:p w:rsidR="00EB6B08" w:rsidRPr="00EB6B08" w:rsidRDefault="00833160" w:rsidP="00EB6B08">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EB6B08">
        <w:rPr>
          <w:rFonts w:ascii="Times New Roman" w:hAnsi="Times New Roman" w:cs="Times New Roman"/>
          <w:sz w:val="24"/>
          <w:szCs w:val="24"/>
          <w:shd w:val="clear" w:color="auto" w:fill="FFFFFF"/>
        </w:rPr>
        <w:t>On July 24, 2019, the Department documented a protest in District Court for the District of Columbia charging that Facebook disregarded an authoritative request issued by the FTC in 2012 by deceiving clients about the degree to which outsider application engineers could get to clients' close to home data. The grumbling further asserts that Facebook abused the FTC Act by deluding clients a</w:t>
      </w:r>
      <w:r>
        <w:rPr>
          <w:rFonts w:ascii="Times New Roman" w:hAnsi="Times New Roman" w:cs="Times New Roman"/>
          <w:sz w:val="24"/>
          <w:szCs w:val="24"/>
          <w:shd w:val="clear" w:color="auto" w:fill="FFFFFF"/>
        </w:rPr>
        <w:t xml:space="preserve">bout their clients about data. </w:t>
      </w:r>
    </w:p>
    <w:p w:rsidR="000924E1" w:rsidRDefault="00833160" w:rsidP="00EB6B08">
      <w:pPr>
        <w:spacing w:line="480" w:lineRule="auto"/>
        <w:ind w:firstLine="720"/>
        <w:jc w:val="both"/>
        <w:rPr>
          <w:rFonts w:ascii="Times New Roman" w:hAnsi="Times New Roman" w:cs="Times New Roman"/>
          <w:sz w:val="24"/>
          <w:szCs w:val="24"/>
          <w:shd w:val="clear" w:color="auto" w:fill="FFFFFF"/>
        </w:rPr>
      </w:pPr>
      <w:r w:rsidRPr="00EB6B08">
        <w:rPr>
          <w:rFonts w:ascii="Times New Roman" w:hAnsi="Times New Roman" w:cs="Times New Roman"/>
          <w:sz w:val="24"/>
          <w:szCs w:val="24"/>
          <w:shd w:val="clear" w:color="auto" w:fill="FFFFFF"/>
        </w:rPr>
        <w:t xml:space="preserve">In a stipulated request documented with the objection, Facebook consented to settle these claims by paying a $5 billion collective punishment and actualizing strong, new consistency estimates that will change how Facebook organizes and approaches client security </w:t>
      </w:r>
      <w:r w:rsidRPr="00EB6B08">
        <w:rPr>
          <w:rFonts w:ascii="Times New Roman" w:hAnsi="Times New Roman" w:cs="Times New Roman"/>
          <w:sz w:val="24"/>
          <w:szCs w:val="24"/>
          <w:shd w:val="clear" w:color="auto" w:fill="FFFFFF"/>
        </w:rPr>
        <w:lastRenderedPageBreak/>
        <w:t>issues. These new consistency measures incorporate security audits for all new or altered Facebook items, another Independent Privacy Committee on Facebook's Board of Directors, and yearly consistence confirmations by Facebook CEO Mark Zuckerberg.</w:t>
      </w:r>
    </w:p>
    <w:p w:rsidR="001B6E4F" w:rsidRDefault="00833160" w:rsidP="001B6E4F">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conclusion, Supreme Court justices will tend to lean to the political affiliation of the President that appoints them or the political party. </w:t>
      </w:r>
      <w:r w:rsidR="00F36F59">
        <w:rPr>
          <w:rFonts w:ascii="Times New Roman" w:hAnsi="Times New Roman" w:cs="Times New Roman"/>
          <w:sz w:val="24"/>
          <w:szCs w:val="24"/>
          <w:shd w:val="clear" w:color="auto" w:fill="FFFFFF"/>
        </w:rPr>
        <w:t xml:space="preserve">The judges are usually in two groups: liberal or conservative. </w:t>
      </w:r>
      <w:r>
        <w:rPr>
          <w:rFonts w:ascii="Times New Roman" w:hAnsi="Times New Roman" w:cs="Times New Roman"/>
          <w:sz w:val="24"/>
          <w:szCs w:val="24"/>
          <w:shd w:val="clear" w:color="auto" w:fill="FFFFFF"/>
        </w:rPr>
        <w:t>Other judges will be swayed from time to time without a known political stand, especially with voting.</w:t>
      </w: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p w:rsidR="00F36F59" w:rsidRDefault="00F36F59" w:rsidP="001B6E4F">
      <w:pPr>
        <w:spacing w:line="480" w:lineRule="auto"/>
        <w:ind w:firstLine="720"/>
        <w:jc w:val="both"/>
        <w:rPr>
          <w:rFonts w:ascii="Times New Roman" w:hAnsi="Times New Roman" w:cs="Times New Roman"/>
          <w:sz w:val="24"/>
          <w:szCs w:val="24"/>
          <w:shd w:val="clear" w:color="auto" w:fill="FFFFFF"/>
        </w:rPr>
      </w:pPr>
    </w:p>
    <w:sdt>
      <w:sdtPr>
        <w:rPr>
          <w:rFonts w:ascii="Times New Roman" w:eastAsiaTheme="minorHAnsi" w:hAnsi="Times New Roman" w:cs="Times New Roman"/>
          <w:color w:val="auto"/>
          <w:sz w:val="24"/>
          <w:szCs w:val="24"/>
        </w:rPr>
        <w:id w:val="1033543818"/>
        <w:docPartObj>
          <w:docPartGallery w:val="Bibliographies"/>
          <w:docPartUnique/>
        </w:docPartObj>
      </w:sdtPr>
      <w:sdtEndPr>
        <w:rPr>
          <w:lang w:val="x-none"/>
        </w:rPr>
      </w:sdtEndPr>
      <w:sdtContent>
        <w:p w:rsidR="001B6E4F" w:rsidRPr="00A32416" w:rsidRDefault="00833160" w:rsidP="00A32416">
          <w:pPr>
            <w:pStyle w:val="Heading1"/>
            <w:spacing w:line="480" w:lineRule="auto"/>
            <w:jc w:val="center"/>
            <w:rPr>
              <w:rFonts w:ascii="Times New Roman" w:hAnsi="Times New Roman" w:cs="Times New Roman"/>
              <w:color w:val="auto"/>
              <w:sz w:val="24"/>
              <w:szCs w:val="24"/>
            </w:rPr>
          </w:pPr>
          <w:r w:rsidRPr="00A32416">
            <w:rPr>
              <w:rFonts w:ascii="Times New Roman" w:hAnsi="Times New Roman" w:cs="Times New Roman"/>
              <w:color w:val="auto"/>
              <w:sz w:val="24"/>
              <w:szCs w:val="24"/>
            </w:rPr>
            <w:t>References</w:t>
          </w:r>
        </w:p>
        <w:sdt>
          <w:sdtPr>
            <w:rPr>
              <w:rFonts w:ascii="Times New Roman" w:hAnsi="Times New Roman" w:cs="Times New Roman"/>
              <w:sz w:val="24"/>
              <w:szCs w:val="24"/>
            </w:rPr>
            <w:id w:val="1420217007"/>
            <w:bibliography/>
          </w:sdtPr>
          <w:sdtEndPr/>
          <w:sdtContent>
            <w:p w:rsidR="001B6E4F" w:rsidRPr="00A32416" w:rsidRDefault="00833160" w:rsidP="00A32416">
              <w:pPr>
                <w:pStyle w:val="Bibliography"/>
                <w:spacing w:line="480" w:lineRule="auto"/>
                <w:ind w:left="720" w:hanging="720"/>
                <w:jc w:val="both"/>
                <w:rPr>
                  <w:rFonts w:ascii="Times New Roman" w:hAnsi="Times New Roman" w:cs="Times New Roman"/>
                  <w:noProof/>
                  <w:sz w:val="24"/>
                  <w:szCs w:val="24"/>
                </w:rPr>
              </w:pPr>
              <w:r w:rsidRPr="00A32416">
                <w:rPr>
                  <w:rFonts w:ascii="Times New Roman" w:hAnsi="Times New Roman" w:cs="Times New Roman"/>
                  <w:sz w:val="24"/>
                  <w:szCs w:val="24"/>
                </w:rPr>
                <w:fldChar w:fldCharType="begin"/>
              </w:r>
              <w:r w:rsidRPr="00A32416">
                <w:rPr>
                  <w:rFonts w:ascii="Times New Roman" w:hAnsi="Times New Roman" w:cs="Times New Roman"/>
                  <w:sz w:val="24"/>
                  <w:szCs w:val="24"/>
                </w:rPr>
                <w:instrText xml:space="preserve"> BIBLIOGRAPHY </w:instrText>
              </w:r>
              <w:r w:rsidRPr="00A32416">
                <w:rPr>
                  <w:rFonts w:ascii="Times New Roman" w:hAnsi="Times New Roman" w:cs="Times New Roman"/>
                  <w:sz w:val="24"/>
                  <w:szCs w:val="24"/>
                </w:rPr>
                <w:fldChar w:fldCharType="separate"/>
              </w:r>
              <w:r w:rsidRPr="00A32416">
                <w:rPr>
                  <w:rFonts w:ascii="Times New Roman" w:hAnsi="Times New Roman" w:cs="Times New Roman"/>
                  <w:noProof/>
                  <w:sz w:val="24"/>
                  <w:szCs w:val="24"/>
                </w:rPr>
                <w:t xml:space="preserve">David, W. (1980). </w:t>
              </w:r>
              <w:r w:rsidRPr="00A32416">
                <w:rPr>
                  <w:rFonts w:ascii="Times New Roman" w:hAnsi="Times New Roman" w:cs="Times New Roman"/>
                  <w:i/>
                  <w:iCs/>
                  <w:noProof/>
                  <w:sz w:val="24"/>
                  <w:szCs w:val="24"/>
                </w:rPr>
                <w:t>The Oxford Companion to Law .</w:t>
              </w:r>
              <w:r w:rsidRPr="00A32416">
                <w:rPr>
                  <w:rFonts w:ascii="Times New Roman" w:hAnsi="Times New Roman" w:cs="Times New Roman"/>
                  <w:noProof/>
                  <w:sz w:val="24"/>
                  <w:szCs w:val="24"/>
                </w:rPr>
                <w:t xml:space="preserve"> Oxford University Press.</w:t>
              </w:r>
            </w:p>
            <w:p w:rsidR="001B6E4F" w:rsidRPr="00A32416" w:rsidRDefault="00833160" w:rsidP="00A32416">
              <w:pPr>
                <w:pStyle w:val="Bibliography"/>
                <w:spacing w:line="480" w:lineRule="auto"/>
                <w:ind w:left="720" w:hanging="720"/>
                <w:jc w:val="both"/>
                <w:rPr>
                  <w:rFonts w:ascii="Times New Roman" w:hAnsi="Times New Roman" w:cs="Times New Roman"/>
                  <w:noProof/>
                  <w:sz w:val="24"/>
                  <w:szCs w:val="24"/>
                </w:rPr>
              </w:pPr>
              <w:r w:rsidRPr="00A32416">
                <w:rPr>
                  <w:rFonts w:ascii="Times New Roman" w:hAnsi="Times New Roman" w:cs="Times New Roman"/>
                  <w:noProof/>
                  <w:sz w:val="24"/>
                  <w:szCs w:val="24"/>
                </w:rPr>
                <w:t xml:space="preserve">Devins, N. &amp;. (2016). "Split Definitive: How Party Polarization Turned the Supreme Court into a Partisan Court". </w:t>
              </w:r>
              <w:r w:rsidRPr="00A32416">
                <w:rPr>
                  <w:rFonts w:ascii="Times New Roman" w:hAnsi="Times New Roman" w:cs="Times New Roman"/>
                  <w:i/>
                  <w:iCs/>
                  <w:noProof/>
                  <w:sz w:val="24"/>
                  <w:szCs w:val="24"/>
                </w:rPr>
                <w:t>The Supreme Court Review</w:t>
              </w:r>
              <w:r w:rsidRPr="00A32416">
                <w:rPr>
                  <w:rFonts w:ascii="Times New Roman" w:hAnsi="Times New Roman" w:cs="Times New Roman"/>
                  <w:noProof/>
                  <w:sz w:val="24"/>
                  <w:szCs w:val="24"/>
                </w:rPr>
                <w:t>, 301-365.</w:t>
              </w:r>
            </w:p>
            <w:p w:rsidR="001B6E4F" w:rsidRPr="00A32416" w:rsidRDefault="00833160" w:rsidP="00A32416">
              <w:pPr>
                <w:pStyle w:val="Bibliography"/>
                <w:spacing w:line="480" w:lineRule="auto"/>
                <w:ind w:left="720" w:hanging="720"/>
                <w:jc w:val="both"/>
                <w:rPr>
                  <w:rFonts w:ascii="Times New Roman" w:hAnsi="Times New Roman" w:cs="Times New Roman"/>
                  <w:noProof/>
                  <w:sz w:val="24"/>
                  <w:szCs w:val="24"/>
                </w:rPr>
              </w:pPr>
              <w:r w:rsidRPr="00A32416">
                <w:rPr>
                  <w:rFonts w:ascii="Times New Roman" w:hAnsi="Times New Roman" w:cs="Times New Roman"/>
                  <w:noProof/>
                  <w:sz w:val="24"/>
                  <w:szCs w:val="24"/>
                </w:rPr>
                <w:t xml:space="preserve">Kahn-Fogel, N. A. (2019). </w:t>
              </w:r>
              <w:r w:rsidRPr="00A32416">
                <w:rPr>
                  <w:rFonts w:ascii="Times New Roman" w:hAnsi="Times New Roman" w:cs="Times New Roman"/>
                  <w:i/>
                  <w:iCs/>
                  <w:noProof/>
                  <w:sz w:val="24"/>
                  <w:szCs w:val="24"/>
                </w:rPr>
                <w:t>Property, Privacy, and Justice Gorsuch's Expansive Fourth Amendment Originalism.</w:t>
              </w:r>
              <w:r w:rsidRPr="00A32416">
                <w:rPr>
                  <w:rFonts w:ascii="Times New Roman" w:hAnsi="Times New Roman" w:cs="Times New Roman"/>
                  <w:noProof/>
                  <w:sz w:val="24"/>
                  <w:szCs w:val="24"/>
                </w:rPr>
                <w:t xml:space="preserve"> Available at SSRN 3432585.</w:t>
              </w:r>
            </w:p>
            <w:p w:rsidR="001B6E4F" w:rsidRPr="00A32416" w:rsidRDefault="00833160" w:rsidP="00A32416">
              <w:pPr>
                <w:pStyle w:val="Bibliography"/>
                <w:spacing w:line="480" w:lineRule="auto"/>
                <w:ind w:left="720" w:hanging="720"/>
                <w:jc w:val="both"/>
                <w:rPr>
                  <w:rFonts w:ascii="Times New Roman" w:hAnsi="Times New Roman" w:cs="Times New Roman"/>
                  <w:noProof/>
                  <w:sz w:val="24"/>
                  <w:szCs w:val="24"/>
                </w:rPr>
              </w:pPr>
              <w:r w:rsidRPr="00A32416">
                <w:rPr>
                  <w:rFonts w:ascii="Times New Roman" w:hAnsi="Times New Roman" w:cs="Times New Roman"/>
                  <w:noProof/>
                  <w:sz w:val="24"/>
                  <w:szCs w:val="24"/>
                </w:rPr>
                <w:t>Mascott, J. L. (2018). The New Supreme Court's Adjudication of Law.</w:t>
              </w:r>
            </w:p>
            <w:p w:rsidR="001B6E4F" w:rsidRPr="00A32416" w:rsidRDefault="00833160" w:rsidP="00A32416">
              <w:pPr>
                <w:pStyle w:val="Bibliography"/>
                <w:spacing w:line="480" w:lineRule="auto"/>
                <w:ind w:left="720" w:hanging="720"/>
                <w:jc w:val="both"/>
                <w:rPr>
                  <w:rFonts w:ascii="Times New Roman" w:hAnsi="Times New Roman" w:cs="Times New Roman"/>
                  <w:noProof/>
                  <w:sz w:val="24"/>
                  <w:szCs w:val="24"/>
                </w:rPr>
              </w:pPr>
              <w:r w:rsidRPr="00A32416">
                <w:rPr>
                  <w:rFonts w:ascii="Times New Roman" w:hAnsi="Times New Roman" w:cs="Times New Roman"/>
                  <w:noProof/>
                  <w:sz w:val="24"/>
                  <w:szCs w:val="24"/>
                </w:rPr>
                <w:t xml:space="preserve">Spriggs, J. F. (1995). Calling it quits: Strategic retirement on the federal courts of appeals, 1893-1991. </w:t>
              </w:r>
              <w:r w:rsidRPr="00A32416">
                <w:rPr>
                  <w:rFonts w:ascii="Times New Roman" w:hAnsi="Times New Roman" w:cs="Times New Roman"/>
                  <w:i/>
                  <w:iCs/>
                  <w:noProof/>
                  <w:sz w:val="24"/>
                  <w:szCs w:val="24"/>
                </w:rPr>
                <w:t>Political Research Quarterly, 48(3)</w:t>
              </w:r>
              <w:r w:rsidRPr="00A32416">
                <w:rPr>
                  <w:rFonts w:ascii="Times New Roman" w:hAnsi="Times New Roman" w:cs="Times New Roman"/>
                  <w:noProof/>
                  <w:sz w:val="24"/>
                  <w:szCs w:val="24"/>
                </w:rPr>
                <w:t>, 573-597.</w:t>
              </w:r>
            </w:p>
            <w:p w:rsidR="001B6E4F" w:rsidRPr="00A32416" w:rsidRDefault="00833160" w:rsidP="00A32416">
              <w:pPr>
                <w:spacing w:line="480" w:lineRule="auto"/>
                <w:jc w:val="both"/>
                <w:rPr>
                  <w:rFonts w:ascii="Times New Roman" w:hAnsi="Times New Roman" w:cs="Times New Roman"/>
                  <w:sz w:val="24"/>
                  <w:szCs w:val="24"/>
                </w:rPr>
              </w:pPr>
              <w:r w:rsidRPr="00A32416">
                <w:rPr>
                  <w:rFonts w:ascii="Times New Roman" w:hAnsi="Times New Roman" w:cs="Times New Roman"/>
                  <w:b/>
                  <w:bCs/>
                  <w:noProof/>
                  <w:sz w:val="24"/>
                  <w:szCs w:val="24"/>
                </w:rPr>
                <w:fldChar w:fldCharType="end"/>
              </w:r>
            </w:p>
          </w:sdtContent>
        </w:sdt>
      </w:sdtContent>
    </w:sdt>
    <w:p w:rsidR="001B6E4F" w:rsidRPr="00A32416" w:rsidRDefault="001B6E4F" w:rsidP="00A32416">
      <w:pPr>
        <w:spacing w:line="480" w:lineRule="auto"/>
        <w:jc w:val="both"/>
        <w:rPr>
          <w:rFonts w:ascii="Times New Roman" w:hAnsi="Times New Roman" w:cs="Times New Roman"/>
          <w:sz w:val="24"/>
          <w:szCs w:val="24"/>
          <w:shd w:val="clear" w:color="auto" w:fill="FFFFFF"/>
        </w:rPr>
      </w:pPr>
    </w:p>
    <w:p w:rsidR="0038423A" w:rsidRPr="00EB6B08" w:rsidRDefault="0038423A" w:rsidP="00EB6B08">
      <w:pPr>
        <w:spacing w:line="480" w:lineRule="auto"/>
        <w:ind w:firstLine="720"/>
        <w:jc w:val="both"/>
        <w:rPr>
          <w:rFonts w:ascii="Times New Roman" w:hAnsi="Times New Roman" w:cs="Times New Roman"/>
          <w:sz w:val="24"/>
          <w:szCs w:val="24"/>
          <w:shd w:val="clear" w:color="auto" w:fill="FFFFFF"/>
        </w:rPr>
      </w:pPr>
    </w:p>
    <w:p w:rsidR="00DB569C" w:rsidRPr="000E6640" w:rsidRDefault="00833160" w:rsidP="008942D8">
      <w:pPr>
        <w:spacing w:line="480" w:lineRule="auto"/>
        <w:jc w:val="both"/>
        <w:rPr>
          <w:rFonts w:ascii="Times New Roman" w:hAnsi="Times New Roman" w:cs="Times New Roman"/>
          <w:sz w:val="24"/>
        </w:rPr>
      </w:pPr>
      <w:r>
        <w:rPr>
          <w:rFonts w:ascii="Times New Roman" w:hAnsi="Times New Roman" w:cs="Times New Roman"/>
          <w:sz w:val="24"/>
          <w:szCs w:val="24"/>
          <w:shd w:val="clear" w:color="auto" w:fill="FFFFFF"/>
        </w:rPr>
        <w:tab/>
      </w:r>
    </w:p>
    <w:sdt>
      <w:sdtPr>
        <w:rPr>
          <w:rFonts w:asciiTheme="majorHAnsi" w:eastAsiaTheme="majorEastAsia" w:hAnsiTheme="majorHAnsi" w:cstheme="majorBidi"/>
          <w:color w:val="2F5496" w:themeColor="accent1" w:themeShade="BF"/>
          <w:sz w:val="32"/>
          <w:szCs w:val="32"/>
        </w:rPr>
        <w:id w:val="-1515997943"/>
        <w:docPartObj>
          <w:docPartGallery w:val="Bibliographies"/>
          <w:docPartUnique/>
        </w:docPartObj>
      </w:sdtPr>
      <w:sdtEndPr>
        <w:rPr>
          <w:rFonts w:asciiTheme="minorHAnsi" w:eastAsiaTheme="minorHAnsi" w:hAnsiTheme="minorHAnsi" w:cstheme="minorBidi"/>
          <w:color w:val="auto"/>
          <w:sz w:val="22"/>
          <w:szCs w:val="22"/>
          <w:lang w:val="x-none"/>
        </w:rPr>
      </w:sdtEndPr>
      <w:sdtContent>
        <w:sdt>
          <w:sdtPr>
            <w:id w:val="-573587230"/>
            <w:showingPlcHdr/>
            <w:bibliography/>
          </w:sdtPr>
          <w:sdtEndPr/>
          <w:sdtContent>
            <w:p w:rsidR="00BF1E8E" w:rsidRDefault="00833160" w:rsidP="00BF1E8E">
              <w:r>
                <w:t xml:space="preserve">     </w:t>
              </w:r>
            </w:p>
          </w:sdtContent>
        </w:sdt>
      </w:sdtContent>
    </w:sdt>
    <w:bookmarkEnd w:id="0"/>
    <w:p w:rsidR="00BF1E8E" w:rsidRPr="008942D8" w:rsidRDefault="00BF1E8E" w:rsidP="008942D8">
      <w:pPr>
        <w:spacing w:line="480" w:lineRule="auto"/>
        <w:jc w:val="both"/>
        <w:rPr>
          <w:rFonts w:ascii="Times New Roman" w:hAnsi="Times New Roman" w:cs="Times New Roman"/>
          <w:sz w:val="24"/>
        </w:rPr>
      </w:pPr>
    </w:p>
    <w:sectPr w:rsidR="00BF1E8E" w:rsidRPr="008942D8" w:rsidSect="008942D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489C" w:rsidRDefault="00D1489C">
      <w:pPr>
        <w:spacing w:after="0" w:line="240" w:lineRule="auto"/>
      </w:pPr>
      <w:r>
        <w:separator/>
      </w:r>
    </w:p>
  </w:endnote>
  <w:endnote w:type="continuationSeparator" w:id="0">
    <w:p w:rsidR="00D1489C" w:rsidRDefault="00D14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exusSansWeb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489C" w:rsidRDefault="00D1489C">
      <w:pPr>
        <w:spacing w:after="0" w:line="240" w:lineRule="auto"/>
      </w:pPr>
      <w:r>
        <w:separator/>
      </w:r>
    </w:p>
  </w:footnote>
  <w:footnote w:type="continuationSeparator" w:id="0">
    <w:p w:rsidR="00D1489C" w:rsidRDefault="00D14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2D8" w:rsidRPr="008942D8" w:rsidRDefault="00833160">
    <w:pPr>
      <w:pStyle w:val="Header"/>
      <w:rPr>
        <w:rFonts w:ascii="Times New Roman" w:hAnsi="Times New Roman" w:cs="Times New Roman"/>
        <w:sz w:val="24"/>
      </w:rPr>
    </w:pPr>
    <w:r w:rsidRPr="008942D8">
      <w:rPr>
        <w:rFonts w:ascii="Times New Roman" w:hAnsi="Times New Roman" w:cs="Times New Roman"/>
        <w:sz w:val="24"/>
      </w:rPr>
      <w:t>SUPREME COURT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2D8" w:rsidRPr="008942D8" w:rsidRDefault="00833160" w:rsidP="008942D8">
    <w:pPr>
      <w:pStyle w:val="Header"/>
      <w:rPr>
        <w:rFonts w:ascii="Times New Roman" w:hAnsi="Times New Roman" w:cs="Times New Roman"/>
        <w:sz w:val="24"/>
      </w:rPr>
    </w:pPr>
    <w:r w:rsidRPr="008942D8">
      <w:rPr>
        <w:rFonts w:ascii="Times New Roman" w:hAnsi="Times New Roman" w:cs="Times New Roman"/>
        <w:sz w:val="24"/>
      </w:rPr>
      <w:t>Running Head: SUPREME COURT</w:t>
    </w:r>
  </w:p>
  <w:p w:rsidR="008942D8" w:rsidRDefault="008942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2D8"/>
    <w:rsid w:val="000160B2"/>
    <w:rsid w:val="00080604"/>
    <w:rsid w:val="000924E1"/>
    <w:rsid w:val="000E6640"/>
    <w:rsid w:val="001B6E4F"/>
    <w:rsid w:val="00374A5D"/>
    <w:rsid w:val="0038423A"/>
    <w:rsid w:val="005A58A3"/>
    <w:rsid w:val="005A796E"/>
    <w:rsid w:val="007F39B2"/>
    <w:rsid w:val="00833160"/>
    <w:rsid w:val="0087363A"/>
    <w:rsid w:val="008942D8"/>
    <w:rsid w:val="008B6EB6"/>
    <w:rsid w:val="009A3BAD"/>
    <w:rsid w:val="00A32416"/>
    <w:rsid w:val="00BE3CC8"/>
    <w:rsid w:val="00BF1E8E"/>
    <w:rsid w:val="00BF6FD5"/>
    <w:rsid w:val="00C44805"/>
    <w:rsid w:val="00D1489C"/>
    <w:rsid w:val="00D72521"/>
    <w:rsid w:val="00D875CF"/>
    <w:rsid w:val="00DB569C"/>
    <w:rsid w:val="00DC406C"/>
    <w:rsid w:val="00EB6B08"/>
    <w:rsid w:val="00F36F59"/>
    <w:rsid w:val="00F62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810AC6-EE01-4DFF-9371-D0E858DC8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E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2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2D8"/>
  </w:style>
  <w:style w:type="paragraph" w:styleId="Footer">
    <w:name w:val="footer"/>
    <w:basedOn w:val="Normal"/>
    <w:link w:val="FooterChar"/>
    <w:uiPriority w:val="99"/>
    <w:unhideWhenUsed/>
    <w:rsid w:val="008942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2D8"/>
  </w:style>
  <w:style w:type="character" w:customStyle="1" w:styleId="Heading1Char">
    <w:name w:val="Heading 1 Char"/>
    <w:basedOn w:val="DefaultParagraphFont"/>
    <w:link w:val="Heading1"/>
    <w:uiPriority w:val="9"/>
    <w:rsid w:val="00BF1E8E"/>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BF1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Dav80</b:Tag>
    <b:SourceType>Book</b:SourceType>
    <b:Guid>{B16F3946-0F79-46CB-921D-34BDDFD1FBA1}</b:Guid>
    <b:Author>
      <b:Author>
        <b:NameList>
          <b:Person>
            <b:Last>David</b:Last>
            <b:First>Walker</b:First>
          </b:Person>
        </b:NameList>
      </b:Author>
    </b:Author>
    <b:Title>The Oxford Companion to Law </b:Title>
    <b:Year>1980</b:Year>
    <b:Publisher>Oxford University Press</b:Publisher>
    <b:RefOrder>4</b:RefOrder>
  </b:Source>
  <b:Source>
    <b:Tag>Dev16</b:Tag>
    <b:SourceType>JournalArticle</b:SourceType>
    <b:Guid>{DA36F936-85A4-4E10-AEC6-2D3E0515BD31}</b:Guid>
    <b:Title>"Split Definitive: How Party Polarization Turned the Supreme Court into a Partisan Court"</b:Title>
    <b:Year>2016</b:Year>
    <b:Author>
      <b:Author>
        <b:NameList>
          <b:Person>
            <b:Last>Devins</b:Last>
            <b:First>N.,</b:First>
            <b:Middle>&amp; Baum, L.</b:Middle>
          </b:Person>
        </b:NameList>
      </b:Author>
    </b:Author>
    <b:JournalName>The Supreme Court Review</b:JournalName>
    <b:Pages>301-365</b:Pages>
    <b:RefOrder>1</b:RefOrder>
  </b:Source>
  <b:Source>
    <b:Tag>Kah19</b:Tag>
    <b:SourceType>Book</b:SourceType>
    <b:Guid>{56CBF959-9FF9-47FC-B9CF-7FB2847E6D69}</b:Guid>
    <b:Author>
      <b:Author>
        <b:NameList>
          <b:Person>
            <b:Last>Kahn-Fogel</b:Last>
            <b:First>N.</b:First>
            <b:Middle>A.</b:Middle>
          </b:Person>
        </b:NameList>
      </b:Author>
    </b:Author>
    <b:Title>Property, Privacy, and Justice Gorsuch's Expansive Fourth Amendment Originalism.</b:Title>
    <b:Year>2019</b:Year>
    <b:Publisher>Available at SSRN 3432585.</b:Publisher>
    <b:RefOrder>2</b:RefOrder>
  </b:Source>
  <b:Source>
    <b:Tag>Spr95</b:Tag>
    <b:SourceType>JournalArticle</b:SourceType>
    <b:Guid>{75F42771-B37C-40CC-BCA5-3232C0FCA7CC}</b:Guid>
    <b:Title> Calling it quits: Strategic retirement on the federal courts of appeals, 1893-1991</b:Title>
    <b:Year>1995</b:Year>
    <b:JournalName> Political Research Quarterly, 48(3)</b:JournalName>
    <b:Pages>573-597</b:Pages>
    <b:Author>
      <b:Author>
        <b:NameList>
          <b:Person>
            <b:Last>Spriggs</b:Last>
            <b:First>J.</b:First>
            <b:Middle>F., &amp; Wahlbeck, P. J.</b:Middle>
          </b:Person>
        </b:NameList>
      </b:Author>
    </b:Author>
    <b:RefOrder>5</b:RefOrder>
  </b:Source>
  <b:Source>
    <b:Tag>Mas18</b:Tag>
    <b:SourceType>JournalArticle</b:SourceType>
    <b:Guid>{B3B245A2-939B-40F8-93ED-C2CB8F82E0D7}</b:Guid>
    <b:Author>
      <b:Author>
        <b:NameList>
          <b:Person>
            <b:Last>Mascott</b:Last>
            <b:First>J.</b:First>
            <b:Middle>L.</b:Middle>
          </b:Person>
        </b:NameList>
      </b:Author>
    </b:Author>
    <b:Title>The New Supreme Court's Adjudication of Law.</b:Title>
    <b:Year>2018</b:Year>
    <b:RefOrder>3</b:RefOrder>
  </b:Source>
</b:Sources>
</file>

<file path=customXml/itemProps1.xml><?xml version="1.0" encoding="utf-8"?>
<ds:datastoreItem xmlns:ds="http://schemas.openxmlformats.org/officeDocument/2006/customXml" ds:itemID="{26FB8417-ABF7-4CC5-A5B3-D31AFB1CD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6</Pages>
  <Words>1148</Words>
  <Characters>6547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7</cp:revision>
  <dcterms:created xsi:type="dcterms:W3CDTF">2019-09-21T17:50:00Z</dcterms:created>
  <dcterms:modified xsi:type="dcterms:W3CDTF">2019-09-21T23:05:00Z</dcterms:modified>
</cp:coreProperties>
</file>